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84" w:rsidRPr="00A43CA1" w:rsidRDefault="00171384" w:rsidP="00171384">
      <w:pPr>
        <w:spacing w:line="360" w:lineRule="auto"/>
        <w:jc w:val="center"/>
        <w:rPr>
          <w:rFonts w:asciiTheme="majorHAnsi" w:hAnsiTheme="majorHAnsi"/>
          <w:b/>
          <w:bCs/>
          <w:color w:val="385623" w:themeColor="accent6" w:themeShade="80"/>
          <w:sz w:val="40"/>
          <w:szCs w:val="40"/>
        </w:rPr>
      </w:pPr>
      <w:proofErr w:type="spellStart"/>
      <w:r w:rsidRPr="00A43CA1">
        <w:rPr>
          <w:rFonts w:asciiTheme="majorHAnsi" w:hAnsiTheme="majorHAnsi"/>
          <w:b/>
          <w:bCs/>
          <w:color w:val="385623" w:themeColor="accent6" w:themeShade="80"/>
          <w:sz w:val="40"/>
          <w:szCs w:val="40"/>
        </w:rPr>
        <w:t>Årsstatistik</w:t>
      </w:r>
      <w:proofErr w:type="spellEnd"/>
      <w:r w:rsidRPr="00A43CA1">
        <w:rPr>
          <w:rFonts w:asciiTheme="majorHAnsi" w:hAnsiTheme="majorHAnsi"/>
          <w:b/>
          <w:bCs/>
          <w:color w:val="385623" w:themeColor="accent6" w:themeShade="80"/>
          <w:sz w:val="40"/>
          <w:szCs w:val="40"/>
        </w:rPr>
        <w:t xml:space="preserve"> for kvinder 2017</w:t>
      </w:r>
    </w:p>
    <w:p w:rsidR="00171384" w:rsidRPr="003528BF" w:rsidRDefault="00171384" w:rsidP="00171384">
      <w:pPr>
        <w:spacing w:line="360" w:lineRule="auto"/>
        <w:rPr>
          <w:b/>
          <w:bCs/>
        </w:rPr>
      </w:pPr>
      <w:r w:rsidRPr="003528BF">
        <w:rPr>
          <w:b/>
          <w:bCs/>
        </w:rPr>
        <w:t>Kvinder i alt indskrevet: 45</w:t>
      </w:r>
    </w:p>
    <w:p w:rsidR="00171384" w:rsidRPr="003528BF" w:rsidRDefault="00171384" w:rsidP="00171384">
      <w:pPr>
        <w:spacing w:line="360" w:lineRule="auto"/>
        <w:contextualSpacing/>
        <w:rPr>
          <w:rFonts w:cs="Times New Roman"/>
        </w:rPr>
      </w:pPr>
      <w:r w:rsidRPr="003528BF">
        <w:rPr>
          <w:rFonts w:cs="Times New Roman"/>
        </w:rPr>
        <w:t>I 2017 boede 45 kvinder på Hellerup Krisecenter. Statistikken omhandler de 37 kvinder, der fraflyttede krisecentret i 2017 og er udarbejdet på baggrund af de interne oplysninger, Hellerup Krisecenter har indsamlet under kvinderne ophold på krisecentret.</w:t>
      </w:r>
    </w:p>
    <w:p w:rsidR="00171384" w:rsidRPr="003528BF" w:rsidRDefault="00171384" w:rsidP="00171384">
      <w:pPr>
        <w:pStyle w:val="Ingenafstand"/>
        <w:spacing w:line="360" w:lineRule="auto"/>
      </w:pPr>
    </w:p>
    <w:p w:rsidR="00171384" w:rsidRPr="003528BF" w:rsidRDefault="00171384" w:rsidP="00171384">
      <w:pPr>
        <w:pStyle w:val="Ingenafstand"/>
        <w:spacing w:line="360" w:lineRule="auto"/>
        <w:rPr>
          <w:b/>
        </w:rPr>
      </w:pPr>
      <w:r w:rsidRPr="003528BF">
        <w:rPr>
          <w:b/>
        </w:rPr>
        <w:t>Bopælskommune ved indskrivning:</w:t>
      </w:r>
    </w:p>
    <w:p w:rsidR="00171384" w:rsidRPr="003528BF" w:rsidRDefault="00171384" w:rsidP="00171384">
      <w:pPr>
        <w:pStyle w:val="Ingenafstand"/>
        <w:spacing w:line="360" w:lineRule="auto"/>
      </w:pPr>
      <w:r w:rsidRPr="003528BF">
        <w:t xml:space="preserve">Region </w:t>
      </w:r>
      <w:proofErr w:type="gramStart"/>
      <w:r w:rsidRPr="003528BF">
        <w:t>Hovedstaden:  70</w:t>
      </w:r>
      <w:proofErr w:type="gramEnd"/>
      <w:r w:rsidRPr="003528BF">
        <w:t>,3 %, svarende til 26 kvinder</w:t>
      </w:r>
    </w:p>
    <w:p w:rsidR="00171384" w:rsidRPr="003528BF" w:rsidRDefault="00171384" w:rsidP="00171384">
      <w:pPr>
        <w:pStyle w:val="Ingenafstand"/>
        <w:spacing w:line="360" w:lineRule="auto"/>
      </w:pPr>
      <w:r w:rsidRPr="003528BF">
        <w:t xml:space="preserve">- Heraf Københavns </w:t>
      </w:r>
      <w:proofErr w:type="gramStart"/>
      <w:r w:rsidRPr="003528BF">
        <w:t>Kommune:  43</w:t>
      </w:r>
      <w:proofErr w:type="gramEnd"/>
      <w:r w:rsidRPr="003528BF">
        <w:t>,2 %, svarende til 16 kvinder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Øvrige Regioner: 29,7 %, svarende til 11 kvinder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I alt 100 %, svarende til 37 kvinder</w:t>
      </w:r>
    </w:p>
    <w:p w:rsidR="00171384" w:rsidRPr="0068403C" w:rsidRDefault="00171384" w:rsidP="00171384">
      <w:pPr>
        <w:pStyle w:val="Ingenafstand"/>
        <w:spacing w:line="360" w:lineRule="auto"/>
      </w:pPr>
    </w:p>
    <w:p w:rsidR="00171384" w:rsidRPr="00DE5F88" w:rsidRDefault="00171384" w:rsidP="00171384">
      <w:pPr>
        <w:pStyle w:val="Ingenafstand"/>
        <w:spacing w:line="360" w:lineRule="auto"/>
      </w:pPr>
      <w:r w:rsidRPr="0068403C">
        <w:t xml:space="preserve"> </w:t>
      </w:r>
      <w:r w:rsidRPr="0068403C">
        <w:rPr>
          <w:b/>
        </w:rPr>
        <w:t>Kvindens alder ved indskrivning: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Under 20 </w:t>
      </w:r>
      <w:proofErr w:type="gramStart"/>
      <w:r w:rsidRPr="0068403C">
        <w:t>år:  8</w:t>
      </w:r>
      <w:proofErr w:type="gramEnd"/>
      <w:r w:rsidRPr="0068403C">
        <w:t>,1 %, svarende til 3 kvinder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Fra 20-30 år: 40,5 %, svarende til 15 kvinder 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Fra 31-40 </w:t>
      </w:r>
      <w:proofErr w:type="gramStart"/>
      <w:r w:rsidRPr="0068403C">
        <w:t>år:  32</w:t>
      </w:r>
      <w:proofErr w:type="gramEnd"/>
      <w:r w:rsidRPr="0068403C">
        <w:t xml:space="preserve">,4 %, svarende til 12 kvinder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Fra 41-50 </w:t>
      </w:r>
      <w:proofErr w:type="gramStart"/>
      <w:r w:rsidRPr="0068403C">
        <w:t>år:  10</w:t>
      </w:r>
      <w:proofErr w:type="gramEnd"/>
      <w:r w:rsidRPr="0068403C">
        <w:t xml:space="preserve">,8 %, svarende til 4 kvinder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Over 50 </w:t>
      </w:r>
      <w:proofErr w:type="gramStart"/>
      <w:r w:rsidRPr="0068403C">
        <w:t>år:  8</w:t>
      </w:r>
      <w:proofErr w:type="gramEnd"/>
      <w:r w:rsidRPr="0068403C">
        <w:t xml:space="preserve">,1 %, svarende til 3 kvinder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I alt 100 %, svarende til 37 kvinder</w:t>
      </w:r>
    </w:p>
    <w:p w:rsidR="00171384" w:rsidRPr="0068403C" w:rsidRDefault="00171384" w:rsidP="00171384">
      <w:pPr>
        <w:pStyle w:val="Ingenafstand"/>
        <w:spacing w:line="360" w:lineRule="auto"/>
      </w:pPr>
    </w:p>
    <w:p w:rsidR="00171384" w:rsidRPr="00DE5F88" w:rsidRDefault="00171384" w:rsidP="00171384">
      <w:pPr>
        <w:pStyle w:val="Ingenafstand"/>
        <w:spacing w:line="360" w:lineRule="auto"/>
      </w:pPr>
      <w:r w:rsidRPr="0068403C">
        <w:t xml:space="preserve"> </w:t>
      </w:r>
      <w:r w:rsidRPr="0068403C">
        <w:rPr>
          <w:b/>
        </w:rPr>
        <w:t>Etnisk herkomst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Dansk: 32,4 %, svarende til 12 kvinder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Anden etnisk herkomst end dansk: 67,6 %, svarende til 25 kvinder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- Europa: 2,7 %, svarende til 1 kvinde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- Tyrkiet: 5,4 %, svarende til 2 kvinder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- Mellemøsten: 21,6 %, svarende til 8 kvinder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- Asien: 16,2 %, svarende til 6 kvinder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 xml:space="preserve">- Afrika: 21,6 %, svarende til 8 kvinder 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I alt 100 %, svarende til 37 kvinder</w:t>
      </w:r>
    </w:p>
    <w:p w:rsidR="00171384" w:rsidRDefault="00171384" w:rsidP="00171384">
      <w:pPr>
        <w:pStyle w:val="Ingenafstand"/>
        <w:spacing w:line="360" w:lineRule="auto"/>
        <w:rPr>
          <w:b/>
        </w:rPr>
      </w:pPr>
      <w:r w:rsidRPr="2B8547AD">
        <w:t xml:space="preserve"> </w:t>
      </w:r>
    </w:p>
    <w:p w:rsidR="00171384" w:rsidRPr="0068403C" w:rsidRDefault="00171384" w:rsidP="00171384">
      <w:pPr>
        <w:pStyle w:val="Ingenafstand"/>
        <w:spacing w:line="360" w:lineRule="auto"/>
        <w:rPr>
          <w:b/>
        </w:rPr>
      </w:pPr>
      <w:r w:rsidRPr="0068403C">
        <w:rPr>
          <w:b/>
        </w:rPr>
        <w:t>Kvinder med/uden børn medbragt: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Med børn: 45,9 %, svarende til 17 kvinder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Uden børn: 54,1 %, svarende til 20 kvinder</w:t>
      </w:r>
    </w:p>
    <w:p w:rsidR="00171384" w:rsidRPr="0068403C" w:rsidRDefault="00171384" w:rsidP="00171384">
      <w:pPr>
        <w:pStyle w:val="Ingenafstand"/>
        <w:spacing w:line="360" w:lineRule="auto"/>
      </w:pPr>
      <w:r w:rsidRPr="0068403C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  <w:r w:rsidRPr="2B8547AD">
        <w:rPr>
          <w:color w:val="FF0000"/>
        </w:rPr>
        <w:t xml:space="preserve"> </w:t>
      </w:r>
    </w:p>
    <w:p w:rsidR="00171384" w:rsidRPr="00235EA6" w:rsidRDefault="00171384" w:rsidP="00171384">
      <w:pPr>
        <w:pStyle w:val="Ingenafstand"/>
        <w:spacing w:line="360" w:lineRule="auto"/>
        <w:rPr>
          <w:b/>
        </w:rPr>
      </w:pPr>
      <w:r w:rsidRPr="00235EA6">
        <w:rPr>
          <w:b/>
        </w:rPr>
        <w:lastRenderedPageBreak/>
        <w:t xml:space="preserve">Hvor mange børn har kvinden med sig?    </w:t>
      </w:r>
    </w:p>
    <w:p w:rsidR="00171384" w:rsidRPr="00235EA6" w:rsidRDefault="00171384" w:rsidP="00171384">
      <w:pPr>
        <w:pStyle w:val="Ingenafstand"/>
        <w:spacing w:line="360" w:lineRule="auto"/>
      </w:pPr>
      <w:r w:rsidRPr="00235EA6">
        <w:t>Ingen børn: 54,1 %, svarende til 20 kvinder</w:t>
      </w:r>
    </w:p>
    <w:p w:rsidR="00171384" w:rsidRPr="00235EA6" w:rsidRDefault="00171384" w:rsidP="00171384">
      <w:pPr>
        <w:pStyle w:val="Ingenafstand"/>
        <w:spacing w:line="360" w:lineRule="auto"/>
      </w:pPr>
      <w:r w:rsidRPr="00235EA6">
        <w:t>1 barn: 32,4 %, svarende til 12 kvinder</w:t>
      </w:r>
    </w:p>
    <w:p w:rsidR="00171384" w:rsidRPr="00235EA6" w:rsidRDefault="00171384" w:rsidP="00171384">
      <w:pPr>
        <w:pStyle w:val="Ingenafstand"/>
        <w:spacing w:line="360" w:lineRule="auto"/>
      </w:pPr>
      <w:r w:rsidRPr="00235EA6">
        <w:t xml:space="preserve">2 børn: 10,8 %, svarende til 4 kvinder </w:t>
      </w:r>
    </w:p>
    <w:p w:rsidR="00171384" w:rsidRPr="00235EA6" w:rsidRDefault="00171384" w:rsidP="00171384">
      <w:pPr>
        <w:pStyle w:val="Ingenafstand"/>
        <w:spacing w:line="360" w:lineRule="auto"/>
      </w:pPr>
      <w:r w:rsidRPr="00235EA6">
        <w:t>3 børn: 2,7 %, svarende til 1 kvinde</w:t>
      </w:r>
    </w:p>
    <w:p w:rsidR="00171384" w:rsidRPr="00235EA6" w:rsidRDefault="00171384" w:rsidP="00171384">
      <w:pPr>
        <w:pStyle w:val="Ingenafstand"/>
        <w:spacing w:line="360" w:lineRule="auto"/>
      </w:pPr>
      <w:r w:rsidRPr="00235EA6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  <w:r w:rsidRPr="2B8547AD">
        <w:t xml:space="preserve"> </w:t>
      </w:r>
    </w:p>
    <w:p w:rsidR="00171384" w:rsidRPr="00460083" w:rsidRDefault="00171384" w:rsidP="00171384">
      <w:pPr>
        <w:pStyle w:val="Ingenafstand"/>
        <w:spacing w:line="360" w:lineRule="auto"/>
        <w:rPr>
          <w:b/>
        </w:rPr>
      </w:pPr>
      <w:r w:rsidRPr="00460083">
        <w:rPr>
          <w:b/>
        </w:rPr>
        <w:t>Forsørgelsesgrundlag ved indskrivning: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 xml:space="preserve">I arbejde: 16,2 %, svarende til 6 kvinder 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Kontanthjælp/integrationsydelse/uddannelseshjælp: 29,7 %, svarende til 11 kvinder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Dagpenge: 2,7 %, svarende til 1 kvinde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Sygedagpenge: 5,4 %, svarende til 2 kvinder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SU: 21,6 %, svarende til 8 kvinder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Førtidspension: 2,7 %, svarende til 1 kvinde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Ingen indtægt: 18,9 %, svarende til 7 kvinder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Anden: 2,7 %, svarende til 1 kvinde</w:t>
      </w:r>
    </w:p>
    <w:p w:rsidR="00171384" w:rsidRPr="00460083" w:rsidRDefault="00171384" w:rsidP="00171384">
      <w:pPr>
        <w:pStyle w:val="Ingenafstand"/>
        <w:spacing w:line="360" w:lineRule="auto"/>
      </w:pPr>
      <w:r w:rsidRPr="00460083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  <w:r w:rsidRPr="2B8547AD">
        <w:t xml:space="preserve"> </w:t>
      </w:r>
    </w:p>
    <w:p w:rsidR="00171384" w:rsidRPr="00C35083" w:rsidRDefault="00171384" w:rsidP="00171384">
      <w:pPr>
        <w:pStyle w:val="Ingenafstand"/>
        <w:spacing w:line="360" w:lineRule="auto"/>
        <w:rPr>
          <w:b/>
        </w:rPr>
      </w:pPr>
      <w:r w:rsidRPr="00C35083">
        <w:rPr>
          <w:b/>
        </w:rPr>
        <w:t>Indskrivningsårsag: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Fysisk vold: 91,9 %, svarende til 34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Psykisk vold: 100 %, svarende til 37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Seksuel vold: 24,3 %, svarende til 9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Materiel vold: 27,0 %, svarende til 10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Økonomisk vold: 24,3 %, svarende til 9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 xml:space="preserve">Da de fleste kvinder har oplevet flere former for vold, er den samlede procentsats ikke 100. </w:t>
      </w:r>
    </w:p>
    <w:p w:rsidR="00171384" w:rsidRDefault="00171384" w:rsidP="00171384">
      <w:pPr>
        <w:pStyle w:val="Ingenafstand"/>
        <w:spacing w:line="360" w:lineRule="auto"/>
      </w:pPr>
    </w:p>
    <w:p w:rsidR="00171384" w:rsidRPr="00C35083" w:rsidRDefault="00171384" w:rsidP="00171384">
      <w:pPr>
        <w:pStyle w:val="Ingenafstand"/>
        <w:spacing w:line="360" w:lineRule="auto"/>
        <w:rPr>
          <w:b/>
        </w:rPr>
      </w:pPr>
      <w:r w:rsidRPr="00C35083">
        <w:rPr>
          <w:b/>
        </w:rPr>
        <w:t>Voldsudøver (hvem):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Ægtefælle: 37,8 %, svarende til 14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Tidligere ægtefælle: 2,7 %, svarende til 1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Samlever: 29,7 %, svarende til 11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Kæreste (ikke samlevende): 2,7 %, svarende til 1 kvinde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Ekskæreste: 8,1 %, svarende til 3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Familie: 13,5 %, svarende til 5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Andre: 5,4 %, svarende til 2 kvinder</w:t>
      </w:r>
    </w:p>
    <w:p w:rsidR="00171384" w:rsidRPr="00C35083" w:rsidRDefault="00171384" w:rsidP="00171384">
      <w:pPr>
        <w:pStyle w:val="Ingenafstand"/>
        <w:spacing w:line="360" w:lineRule="auto"/>
      </w:pPr>
      <w:r w:rsidRPr="00C35083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  <w:r w:rsidRPr="2B8547AD">
        <w:t xml:space="preserve"> </w:t>
      </w:r>
    </w:p>
    <w:p w:rsidR="00171384" w:rsidRPr="000A5480" w:rsidRDefault="00171384" w:rsidP="00171384">
      <w:pPr>
        <w:pStyle w:val="Ingenafstand"/>
        <w:spacing w:line="360" w:lineRule="auto"/>
        <w:rPr>
          <w:b/>
        </w:rPr>
      </w:pPr>
      <w:r w:rsidRPr="000A5480">
        <w:rPr>
          <w:b/>
        </w:rPr>
        <w:t>Er der misbrug hos voldsudøveren: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lastRenderedPageBreak/>
        <w:t xml:space="preserve">Ja: 35,1 %, svarende til 13 kvinder 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Nej: 51,4 %, svarende til 19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Ved ikke: 13,5 %, svarende til 5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  <w:r w:rsidRPr="2B8547AD">
        <w:t xml:space="preserve"> </w:t>
      </w:r>
    </w:p>
    <w:p w:rsidR="00171384" w:rsidRPr="000A5480" w:rsidRDefault="00171384" w:rsidP="00171384">
      <w:pPr>
        <w:pStyle w:val="Ingenafstand"/>
        <w:spacing w:line="360" w:lineRule="auto"/>
        <w:rPr>
          <w:b/>
        </w:rPr>
      </w:pPr>
      <w:r w:rsidRPr="000A5480">
        <w:rPr>
          <w:b/>
        </w:rPr>
        <w:t xml:space="preserve">Anmeldelse af volden ved indskrivning: </w:t>
      </w:r>
    </w:p>
    <w:p w:rsidR="00171384" w:rsidRPr="000A5480" w:rsidRDefault="00171384" w:rsidP="00171384">
      <w:pPr>
        <w:pStyle w:val="Ingenafstand"/>
        <w:spacing w:line="360" w:lineRule="auto"/>
      </w:pPr>
      <w:proofErr w:type="gramStart"/>
      <w:r w:rsidRPr="000A5480">
        <w:t>Ja:  21</w:t>
      </w:r>
      <w:proofErr w:type="gramEnd"/>
      <w:r w:rsidRPr="000A5480">
        <w:t>,6 %, svarende til 8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Nej: 78,4 %, svarende til 29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</w:p>
    <w:p w:rsidR="00171384" w:rsidRPr="000A5480" w:rsidRDefault="00171384" w:rsidP="00171384">
      <w:pPr>
        <w:pStyle w:val="Ingenafstand"/>
        <w:spacing w:line="360" w:lineRule="auto"/>
        <w:rPr>
          <w:b/>
        </w:rPr>
      </w:pPr>
      <w:r w:rsidRPr="000A5480">
        <w:rPr>
          <w:b/>
        </w:rPr>
        <w:t xml:space="preserve">Antal ophold på krisecenter i kvindens liv: 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1: 62,2 %, svarende til 23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2: 24,3 %, svarende til 9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3: 10,8 %, svarende til 4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4: 2,7 %, svarende til 1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  <w:r w:rsidRPr="2B8547AD">
        <w:t xml:space="preserve"> </w:t>
      </w:r>
    </w:p>
    <w:p w:rsidR="00171384" w:rsidRPr="000A5480" w:rsidRDefault="00171384" w:rsidP="00171384">
      <w:pPr>
        <w:pStyle w:val="Ingenafstand"/>
        <w:spacing w:line="360" w:lineRule="auto"/>
        <w:rPr>
          <w:b/>
        </w:rPr>
      </w:pPr>
      <w:r w:rsidRPr="000A5480">
        <w:rPr>
          <w:b/>
        </w:rPr>
        <w:t>Hvor flytter kvinden hen efter udflytning fra krisecenter: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Egen ny bolig: 43,2 %, svarende til 16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Tilbage til voldsudøver: 13,5 %, svarende til 5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Tilbage til bolig uden voldsudøver: 8,1 %, svarende til 3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Andet krisecenter: 10,8 %, svarende til 4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Familie/bekendte: 13,5 %, svarende til 5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Ved ikke: 10,8 %, svarende til 4 kvinder</w:t>
      </w:r>
    </w:p>
    <w:p w:rsidR="00171384" w:rsidRPr="000A5480" w:rsidRDefault="00171384" w:rsidP="00171384">
      <w:pPr>
        <w:pStyle w:val="Ingenafstand"/>
        <w:spacing w:line="360" w:lineRule="auto"/>
      </w:pPr>
      <w:r w:rsidRPr="000A5480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  <w:r w:rsidRPr="2B8547AD">
        <w:t xml:space="preserve"> </w:t>
      </w:r>
    </w:p>
    <w:p w:rsidR="00171384" w:rsidRPr="006B3600" w:rsidRDefault="00171384" w:rsidP="00171384">
      <w:pPr>
        <w:pStyle w:val="Ingenafstand"/>
        <w:spacing w:line="360" w:lineRule="auto"/>
        <w:rPr>
          <w:b/>
        </w:rPr>
      </w:pPr>
      <w:r w:rsidRPr="006B3600">
        <w:rPr>
          <w:b/>
        </w:rPr>
        <w:t>Opholdets varighed:</w:t>
      </w:r>
    </w:p>
    <w:p w:rsidR="00171384" w:rsidRPr="00052306" w:rsidRDefault="00171384" w:rsidP="00171384">
      <w:pPr>
        <w:pStyle w:val="Ingenafstand"/>
        <w:spacing w:line="360" w:lineRule="auto"/>
      </w:pPr>
      <w:r w:rsidRPr="00052306">
        <w:t xml:space="preserve">Under 1 måned: 32,4 %, svarende til 12 kvinder, </w:t>
      </w:r>
    </w:p>
    <w:p w:rsidR="00171384" w:rsidRPr="00052306" w:rsidRDefault="00171384" w:rsidP="00171384">
      <w:pPr>
        <w:pStyle w:val="Ingenafstand"/>
        <w:spacing w:line="360" w:lineRule="auto"/>
      </w:pPr>
      <w:r w:rsidRPr="00052306">
        <w:t xml:space="preserve">1 - 3 </w:t>
      </w:r>
      <w:proofErr w:type="gramStart"/>
      <w:r w:rsidRPr="00052306">
        <w:t>måneder:  27</w:t>
      </w:r>
      <w:proofErr w:type="gramEnd"/>
      <w:r w:rsidRPr="00052306">
        <w:t xml:space="preserve">,0 %, svarende til 10 kvinder, </w:t>
      </w:r>
    </w:p>
    <w:p w:rsidR="00171384" w:rsidRPr="00052306" w:rsidRDefault="00171384" w:rsidP="00171384">
      <w:pPr>
        <w:pStyle w:val="Ingenafstand"/>
        <w:spacing w:line="360" w:lineRule="auto"/>
      </w:pPr>
      <w:r w:rsidRPr="00052306">
        <w:t xml:space="preserve">3 - 6 måneder: 21,6 %, svarende til 8 kvinder, </w:t>
      </w:r>
    </w:p>
    <w:p w:rsidR="00171384" w:rsidRPr="00052306" w:rsidRDefault="00171384" w:rsidP="00171384">
      <w:pPr>
        <w:pStyle w:val="Ingenafstand"/>
        <w:spacing w:line="360" w:lineRule="auto"/>
      </w:pPr>
      <w:r w:rsidRPr="00052306">
        <w:t xml:space="preserve">Over 6 måneder: 18,9 %, svarende til 7 kvinder, </w:t>
      </w:r>
    </w:p>
    <w:p w:rsidR="00171384" w:rsidRPr="00052306" w:rsidRDefault="00171384" w:rsidP="00171384">
      <w:pPr>
        <w:pStyle w:val="Ingenafstand"/>
        <w:spacing w:line="360" w:lineRule="auto"/>
      </w:pPr>
      <w:r w:rsidRPr="00052306">
        <w:t>I alt 100 %, svarende til 37 kvinder</w:t>
      </w:r>
    </w:p>
    <w:p w:rsidR="00171384" w:rsidRDefault="00171384" w:rsidP="00171384">
      <w:pPr>
        <w:pStyle w:val="Ingenafstand"/>
        <w:spacing w:line="360" w:lineRule="auto"/>
      </w:pPr>
    </w:p>
    <w:p w:rsidR="00171384" w:rsidRDefault="00171384" w:rsidP="00171384">
      <w:pPr>
        <w:pStyle w:val="Ingenafstand"/>
        <w:spacing w:line="360" w:lineRule="auto"/>
      </w:pPr>
      <w:r w:rsidRPr="00DE5F88">
        <w:rPr>
          <w:b/>
        </w:rPr>
        <w:t>Gennemsnitlig opholdslængde</w:t>
      </w:r>
      <w:r>
        <w:t>: 108,4 dage.</w:t>
      </w:r>
    </w:p>
    <w:p w:rsidR="00171384" w:rsidRDefault="00171384" w:rsidP="00171384">
      <w:pPr>
        <w:pStyle w:val="Ingenafstand"/>
        <w:spacing w:line="360" w:lineRule="auto"/>
      </w:pPr>
    </w:p>
    <w:p w:rsidR="00171384" w:rsidRDefault="00171384" w:rsidP="00171384">
      <w:pPr>
        <w:pStyle w:val="Ingenafstand"/>
        <w:spacing w:line="360" w:lineRule="auto"/>
        <w:rPr>
          <w:b/>
        </w:rPr>
      </w:pPr>
      <w:r w:rsidRPr="00FE63B3">
        <w:rPr>
          <w:b/>
        </w:rPr>
        <w:t>Henvendelser:</w:t>
      </w:r>
    </w:p>
    <w:p w:rsidR="00171384" w:rsidRPr="00554B6B" w:rsidRDefault="00171384" w:rsidP="00171384">
      <w:pPr>
        <w:pStyle w:val="Ingenafstand"/>
        <w:spacing w:line="360" w:lineRule="auto"/>
      </w:pPr>
      <w:r w:rsidRPr="00554B6B">
        <w:t>Henvendelser i alt: 292</w:t>
      </w:r>
    </w:p>
    <w:p w:rsidR="00171384" w:rsidRDefault="00171384" w:rsidP="00171384">
      <w:pPr>
        <w:pStyle w:val="Ingenafstand"/>
        <w:spacing w:line="360" w:lineRule="auto"/>
      </w:pPr>
      <w:r>
        <w:lastRenderedPageBreak/>
        <w:t xml:space="preserve">Afvisninger på ophold: 164 </w:t>
      </w:r>
    </w:p>
    <w:p w:rsidR="00171384" w:rsidRDefault="00171384" w:rsidP="00171384">
      <w:pPr>
        <w:pStyle w:val="Ingenafstand"/>
        <w:spacing w:line="360" w:lineRule="auto"/>
      </w:pPr>
      <w:r>
        <w:t xml:space="preserve">Indskrivninger: 45 </w:t>
      </w:r>
    </w:p>
    <w:p w:rsidR="00171384" w:rsidRDefault="00171384" w:rsidP="00171384">
      <w:pPr>
        <w:pStyle w:val="Ingenafstand"/>
        <w:spacing w:line="360" w:lineRule="auto"/>
      </w:pPr>
      <w:r>
        <w:t>Plads ledig, men henviser til anden løsning eller plads ledig, men kvinden indskrives ikke: 44</w:t>
      </w:r>
    </w:p>
    <w:p w:rsidR="00171384" w:rsidRDefault="00171384" w:rsidP="00171384">
      <w:pPr>
        <w:pStyle w:val="Ingenafstand"/>
        <w:spacing w:line="360" w:lineRule="auto"/>
      </w:pPr>
      <w:r>
        <w:t>Rådgivning uden ønske om ophold: 30 stk.</w:t>
      </w:r>
    </w:p>
    <w:p w:rsidR="00171384" w:rsidRDefault="00171384" w:rsidP="00171384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color w:val="385623" w:themeColor="accent6" w:themeShade="80"/>
          <w:sz w:val="40"/>
          <w:szCs w:val="40"/>
        </w:rPr>
      </w:pPr>
    </w:p>
    <w:p w:rsidR="00171384" w:rsidRDefault="00171384" w:rsidP="00171384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color w:val="385623" w:themeColor="accent6" w:themeShade="80"/>
          <w:sz w:val="40"/>
          <w:szCs w:val="40"/>
        </w:rPr>
      </w:pPr>
    </w:p>
    <w:p w:rsidR="00171384" w:rsidRPr="00A43CA1" w:rsidRDefault="00171384" w:rsidP="00171384">
      <w:pPr>
        <w:spacing w:line="360" w:lineRule="auto"/>
        <w:ind w:left="1304" w:firstLine="1304"/>
        <w:contextualSpacing/>
        <w:rPr>
          <w:rFonts w:asciiTheme="majorHAnsi" w:hAnsiTheme="majorHAnsi" w:cs="Times New Roman"/>
          <w:b/>
          <w:color w:val="385623" w:themeColor="accent6" w:themeShade="80"/>
          <w:sz w:val="40"/>
          <w:szCs w:val="40"/>
        </w:rPr>
      </w:pPr>
      <w:proofErr w:type="spellStart"/>
      <w:r w:rsidRPr="00A43CA1">
        <w:rPr>
          <w:rFonts w:asciiTheme="majorHAnsi" w:hAnsiTheme="majorHAnsi" w:cs="Times New Roman"/>
          <w:b/>
          <w:color w:val="385623" w:themeColor="accent6" w:themeShade="80"/>
          <w:sz w:val="40"/>
          <w:szCs w:val="40"/>
        </w:rPr>
        <w:t>Årsstatistik</w:t>
      </w:r>
      <w:proofErr w:type="spellEnd"/>
      <w:r w:rsidRPr="00A43CA1">
        <w:rPr>
          <w:rFonts w:asciiTheme="majorHAnsi" w:hAnsiTheme="majorHAnsi" w:cs="Times New Roman"/>
          <w:b/>
          <w:color w:val="385623" w:themeColor="accent6" w:themeShade="80"/>
          <w:sz w:val="40"/>
          <w:szCs w:val="40"/>
        </w:rPr>
        <w:t xml:space="preserve"> for børn 2017</w:t>
      </w:r>
    </w:p>
    <w:p w:rsidR="00171384" w:rsidRPr="00A43CA1" w:rsidRDefault="00171384" w:rsidP="0017138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:rsidR="00171384" w:rsidRPr="006825A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6825AF">
        <w:rPr>
          <w:rFonts w:ascii="Calibri" w:hAnsi="Calibri" w:cs="Times New Roman"/>
          <w:b/>
        </w:rPr>
        <w:t>Børn i alt: 33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I 2017 boede 33 børn på Hellerup Krisecenter. Statistikken omhandler de 23 børn, der fraflyttede krisecentret i 2017 og er udarbejdet på baggrund af de interne oplysninger, Hellerup Krisecenter har indsamlet under børnenes ophold på krisecentret.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 xml:space="preserve">Barnets køn: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Drenge: 43,5 % svarende til 10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Piger: 56,5 % svarende til 13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 xml:space="preserve">Barnets alder ved indskrivning: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0-2 år: 26,1 %, svarende til 6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3-5 år: 17,4 %, svarende til 4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6-9 år: 34,8 %, svarende til 8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10-13 år: 17,4 %, svarende til 4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14-17 år: 4,3 %, svarende til 1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 xml:space="preserve">Barnets statsborgerskab: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Dansk: 78,3 %, svarende til 18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Andet: 21,7 %, svarende til 5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>Har barnet modtaget psykologbehandling under opholdet: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Ja: 43,5 %, svarende til 10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lastRenderedPageBreak/>
        <w:t>Nej:  56</w:t>
      </w:r>
      <w:proofErr w:type="gramEnd"/>
      <w:r w:rsidRPr="003528BF">
        <w:rPr>
          <w:rFonts w:ascii="Calibri" w:hAnsi="Calibri" w:cs="Times New Roman"/>
        </w:rPr>
        <w:t xml:space="preserve">,5 %, svarende til 13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>Der udarbejdes underretning på alle børn, der indskrives på Hellerup Krisecenter inden for tre dage efter indflytning. Er der efterfølgende lavet uddybende underretning?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t>Ja:  56</w:t>
      </w:r>
      <w:proofErr w:type="gramEnd"/>
      <w:r w:rsidRPr="003528BF">
        <w:rPr>
          <w:rFonts w:ascii="Calibri" w:hAnsi="Calibri" w:cs="Times New Roman"/>
        </w:rPr>
        <w:t xml:space="preserve">,5 %, svarende til 13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t>Nej:  43</w:t>
      </w:r>
      <w:proofErr w:type="gramEnd"/>
      <w:r w:rsidRPr="003528BF">
        <w:rPr>
          <w:rFonts w:ascii="Calibri" w:hAnsi="Calibri" w:cs="Times New Roman"/>
        </w:rPr>
        <w:t xml:space="preserve">,5 %, svarende til 10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>Har barnet været udsat for fysisk og/eller psykisk vold indenfor de seneste 12 måneder?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t>Ja:  26</w:t>
      </w:r>
      <w:proofErr w:type="gramEnd"/>
      <w:r w:rsidRPr="003528BF">
        <w:rPr>
          <w:rFonts w:ascii="Calibri" w:hAnsi="Calibri" w:cs="Times New Roman"/>
        </w:rPr>
        <w:t xml:space="preserve">,1 %, svarende til 6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Nej: 69,6 %, svarende til 16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Ved </w:t>
      </w:r>
      <w:proofErr w:type="gramStart"/>
      <w:r w:rsidRPr="003528BF">
        <w:rPr>
          <w:rFonts w:ascii="Calibri" w:hAnsi="Calibri" w:cs="Times New Roman"/>
        </w:rPr>
        <w:t>ikke:  4</w:t>
      </w:r>
      <w:proofErr w:type="gramEnd"/>
      <w:r w:rsidRPr="003528BF">
        <w:rPr>
          <w:rFonts w:ascii="Calibri" w:hAnsi="Calibri" w:cs="Times New Roman"/>
        </w:rPr>
        <w:t xml:space="preserve">,3 %, svarende til 1 barn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>Har barnet overværet og/eller overhørt fysisk og/eller seksuel vold mod sin mor indenfor de sidste 12 måneder?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Ja: 52,2 %, svarende til 12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Nej: 47,8 %, svarende til 11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Ved ikke: 0 %, svarende til 0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>Har barnet overværet og/eller overhørt psykisk vold mod sin mor indenfor de sidste 12 måneder?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t>Ja:  82</w:t>
      </w:r>
      <w:proofErr w:type="gramEnd"/>
      <w:r w:rsidRPr="003528BF">
        <w:rPr>
          <w:rFonts w:ascii="Calibri" w:hAnsi="Calibri" w:cs="Times New Roman"/>
        </w:rPr>
        <w:t>,6 %, svarende til 19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Nej: 13,0 %, svarende til 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Ved ikke: 4,3 %, svarende til 1 barn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alt: 100 %,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t xml:space="preserve">Hvor flytter barnet hen ved udflytning fra krisecentret: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Tilbage til voldsudøveren: 4,3 %, svarende til 1 barn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Tilbage til samme bolig, men uden </w:t>
      </w:r>
      <w:proofErr w:type="gramStart"/>
      <w:r w:rsidRPr="003528BF">
        <w:rPr>
          <w:rFonts w:ascii="Calibri" w:hAnsi="Calibri" w:cs="Times New Roman"/>
        </w:rPr>
        <w:t>voldsudøveren:  13</w:t>
      </w:r>
      <w:proofErr w:type="gramEnd"/>
      <w:r w:rsidRPr="003528BF">
        <w:rPr>
          <w:rFonts w:ascii="Calibri" w:hAnsi="Calibri" w:cs="Times New Roman"/>
        </w:rPr>
        <w:t>,0 %, svarende til 3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Ny bolig uden voldsudøveren: 39,1 %, svarende til 9 børn</w:t>
      </w:r>
    </w:p>
    <w:p w:rsidR="00171384" w:rsidRPr="003528BF" w:rsidRDefault="00171384" w:rsidP="00171384">
      <w:pPr>
        <w:tabs>
          <w:tab w:val="center" w:pos="4819"/>
        </w:tabs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Andet krisecenter eller andet kommunalt bosted: 17,4 %, svarende til 4 børn</w:t>
      </w:r>
      <w:r w:rsidRPr="003528BF">
        <w:rPr>
          <w:rFonts w:ascii="Calibri" w:hAnsi="Calibri" w:cs="Times New Roman"/>
        </w:rPr>
        <w:tab/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Familie uden voldsudøveren: 21,7 %, svarende til 5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>Uoplyst: 4,3 %, svarende til 1 barn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I alt: 100 %, svarende til 23 børn 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  <w:b/>
        </w:rPr>
      </w:pPr>
      <w:r w:rsidRPr="003528BF">
        <w:rPr>
          <w:rFonts w:ascii="Calibri" w:hAnsi="Calibri" w:cs="Times New Roman"/>
          <w:b/>
        </w:rPr>
        <w:lastRenderedPageBreak/>
        <w:t>Antal ophold på krisecenter i barnets samlede liv: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t>1:  73</w:t>
      </w:r>
      <w:proofErr w:type="gramEnd"/>
      <w:r w:rsidRPr="003528BF">
        <w:rPr>
          <w:rFonts w:ascii="Calibri" w:hAnsi="Calibri" w:cs="Times New Roman"/>
        </w:rPr>
        <w:t>,9 %, svarende til 17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t>2:  17</w:t>
      </w:r>
      <w:proofErr w:type="gramEnd"/>
      <w:r w:rsidRPr="003528BF">
        <w:rPr>
          <w:rFonts w:ascii="Calibri" w:hAnsi="Calibri" w:cs="Times New Roman"/>
        </w:rPr>
        <w:t>,4 %, svarende til 4 børn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proofErr w:type="gramStart"/>
      <w:r w:rsidRPr="003528BF">
        <w:rPr>
          <w:rFonts w:ascii="Calibri" w:hAnsi="Calibri" w:cs="Times New Roman"/>
        </w:rPr>
        <w:t>3:  4</w:t>
      </w:r>
      <w:proofErr w:type="gramEnd"/>
      <w:r w:rsidRPr="003528BF">
        <w:rPr>
          <w:rFonts w:ascii="Calibri" w:hAnsi="Calibri" w:cs="Times New Roman"/>
        </w:rPr>
        <w:t>,3 %, svarende til 1 barn</w:t>
      </w:r>
    </w:p>
    <w:p w:rsidR="00171384" w:rsidRPr="003528BF" w:rsidRDefault="00171384" w:rsidP="00171384">
      <w:pPr>
        <w:spacing w:line="360" w:lineRule="auto"/>
        <w:contextualSpacing/>
        <w:rPr>
          <w:rFonts w:ascii="Calibri" w:hAnsi="Calibri" w:cs="Times New Roman"/>
        </w:rPr>
      </w:pPr>
      <w:r w:rsidRPr="003528BF">
        <w:rPr>
          <w:rFonts w:ascii="Calibri" w:hAnsi="Calibri" w:cs="Times New Roman"/>
        </w:rPr>
        <w:t xml:space="preserve">Ved ikke: 4,3 %, svarende til 1 barn </w:t>
      </w:r>
    </w:p>
    <w:p w:rsidR="00171384" w:rsidRDefault="00171384" w:rsidP="00171384">
      <w:pPr>
        <w:spacing w:line="360" w:lineRule="auto"/>
        <w:contextualSpacing/>
      </w:pPr>
      <w:r w:rsidRPr="003528BF">
        <w:rPr>
          <w:rFonts w:ascii="Calibri" w:hAnsi="Calibri" w:cs="Times New Roman"/>
        </w:rPr>
        <w:t xml:space="preserve">I </w:t>
      </w:r>
      <w:proofErr w:type="gramStart"/>
      <w:r w:rsidRPr="003528BF">
        <w:rPr>
          <w:rFonts w:ascii="Calibri" w:hAnsi="Calibri" w:cs="Times New Roman"/>
        </w:rPr>
        <w:t>alt:  100</w:t>
      </w:r>
      <w:proofErr w:type="gramEnd"/>
      <w:r w:rsidRPr="003528BF">
        <w:rPr>
          <w:rFonts w:ascii="Calibri" w:hAnsi="Calibri" w:cs="Times New Roman"/>
        </w:rPr>
        <w:t xml:space="preserve"> %, svarende til 23 børn </w:t>
      </w:r>
    </w:p>
    <w:p w:rsidR="00171384" w:rsidRDefault="00171384">
      <w:bookmarkStart w:id="0" w:name="_GoBack"/>
      <w:bookmarkEnd w:id="0"/>
    </w:p>
    <w:sectPr w:rsidR="00171384" w:rsidSect="00F1624B">
      <w:pgSz w:w="11906" w:h="16838"/>
      <w:pgMar w:top="1176" w:right="1134" w:bottom="1278" w:left="1131" w:header="708" w:footer="712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1384"/>
    <w:rsid w:val="00171384"/>
    <w:rsid w:val="00C2159A"/>
    <w:rsid w:val="00F1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4"/>
    <w:pPr>
      <w:spacing w:after="200" w:line="288" w:lineRule="auto"/>
    </w:pPr>
    <w:rPr>
      <w:rFonts w:eastAsiaTheme="minorEastAsia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71384"/>
    <w:pPr>
      <w:spacing w:after="0" w:line="240" w:lineRule="auto"/>
    </w:pPr>
    <w:rPr>
      <w:rFonts w:eastAsiaTheme="minorEastAsia"/>
      <w:sz w:val="21"/>
      <w:szCs w:val="21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5941</Characters>
  <Application>Microsoft Office Word</Application>
  <DocSecurity>0</DocSecurity>
  <Lines>49</Lines>
  <Paragraphs>13</Paragraphs>
  <ScaleCrop>false</ScaleCrop>
  <Company>Gentofte Kommune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Bjørnestad Platz (hapl)</dc:creator>
  <cp:lastModifiedBy>mesp</cp:lastModifiedBy>
  <cp:revision>2</cp:revision>
  <dcterms:created xsi:type="dcterms:W3CDTF">2018-03-01T09:49:00Z</dcterms:created>
  <dcterms:modified xsi:type="dcterms:W3CDTF">2018-03-01T09:49:00Z</dcterms:modified>
</cp:coreProperties>
</file>